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Style w:val="4"/>
          <w:rFonts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shd w:val="clear" w:fill="FFFFFF"/>
        </w:rPr>
        <w:t>（一）专业学习奖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按照综合测评成绩排名计算方法，根据不同年级比例评定。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1.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 </w:t>
      </w:r>
      <w:r>
        <w:rPr>
          <w:rStyle w:val="4"/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shd w:val="clear" w:fill="FFFFFF"/>
        </w:rPr>
        <w:t>综合测评成绩计算方法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综合测评成绩= 平均绩点数 +（综合素质测评分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╳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0.5）/100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注：平均绩点以教务处提供数据为准，综合测评成绩保留小数点后两位。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2.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 </w:t>
      </w:r>
      <w:r>
        <w:rPr>
          <w:rStyle w:val="4"/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shd w:val="clear" w:fill="FFFFFF"/>
        </w:rPr>
        <w:t>综合素质测评分计算方法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1）综合素质测评基础分为60分，根据学生个人表现在基础分上加减分，计算个人综合素质测评分，分值范围为0 -100分，最低0分，最高100分。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注：本测评方法中所涉及附加（减）分项目须在评奖评优学年内有效，附加（减）分均为百分制分数。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2）学生综合素质测评附加（减）分每学期进行一次测算，并在班级内进行公示，评奖评优期间将两学期附加（减）分进行汇总，按照综合素质测评分计算方法计算个人得分。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）加分标准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）先进团队成员（先进班集体、先进团支部等）按照国家级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次，省级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+6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次、市级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次、校级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次、院级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次标准加分，以正式发文或证书为准，同一获奖项目多级取高分，不重复计分。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）先进个人 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(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优秀团员、优秀团干、优秀军训生、优秀学生和优秀学生干部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)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按照国家级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次，省级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+6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次、市级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次、校级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次、院级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次标准加分，以正式发文或证书为准，同一获奖项目多级取高分，不重复计分。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）社会实践活动受表彰、优秀青年志愿者、好人好事受表扬等按照获奖最低等级，国家级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次，省级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+6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次、市级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次、校级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次、院级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次，以正式发文或证书为准，同一获奖项目多级取高分，不重复计分。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）各类专业知识、技能竞赛获奖。按照获奖最低等级，国家级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次，省级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+6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次、市级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次、校级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次、院级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次标准加分，以正式发文或证书为准，同一获奖项目多级取高分，不重复计分。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）各类文体竞赛（如校运动会、一二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九活动等比赛活动等）。按照获奖最低等级，国家级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次，省级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+6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次、市级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次、校级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次、院级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次标准加分，以正式发文或证书为准，同一获奖项目多级取高分，不重复计分。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6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）寝室内务卫生。获校“三星级宿舍”，该宿舍成员按照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6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次加分，“二星级宿舍”按照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次加分；院级优秀宿舍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次。校宿舍卫生通报优秀宿舍，该宿舍成员按照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次加分。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7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 担任学生干部期间，因工作出色受到学院通报表扬按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次加分。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8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）发表科研论文、文章等（作者排名前三）。核心期刊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+8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篇，省级期刊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篇，以第一作者发表论文、文章，在原有加分基础上再加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9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）除学院布置的宣传工作之外，因宣传报道我院或我院师生中的先进典型或先进事迹被网站、报纸等公众媒体录用，对撰稿人按照国家级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次，省级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次、市级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次、校级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次、院级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次标准加分。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）除上述加分条例外，受到院级通报表扬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（备注：获奖项目有等级划分，按照每提高一个等级在最低等级加分的基础上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分，如：校级项目分一、二、三等奖，则按照三等奖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分，二等奖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分，一等奖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+3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分进行加分）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）减分测评规定具体如下：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）无故不参加校级各类集体活动者，如升旗仪式等，每人每次减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分；无故不参加集体活动者，如班级主题班会、团会等，每人每次减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）无故旷课按照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课时标准计算减分；无故迟到、早退超过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15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分钟视为旷课，旷课课时数达到校级处分条件，依据《南京晓庄学院学生学籍管理规定》相关条例执行。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）无故迟到和早退者，按照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次标准计算减分，无故迟到或早退累积满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次视为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1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次旷课，汇总计入旷课课时数，但不再按无故旷课原因重复减分。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）晚自习视同正常课时，减分标准参照第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）违反课堂教学管理，被任课教师通报者，经学院核实后，按照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次标准减分。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6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）学校公寓宿舍卫生检查每周通报中，不达标宿舍成员按照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次标准减分。学院宿舍卫生检查中对于寝室卫生不达标宿舍成员按照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次标准减分。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7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）因使用违禁电器、夜不归宿等受到校级通报者每人每次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-10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8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）学生受到校级处分按照警告处分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-15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次，严重警告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-20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次，记过处分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-25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次，留校察看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-30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次标准减分。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9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）学生干部因工作徇私舞弊、失职等，造成恶劣后果的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-10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）除上述减分条例外，受到院级通报批评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-2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23E68"/>
    <w:rsid w:val="5B223E68"/>
    <w:rsid w:val="7F130E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2017-09-15T02:36:00Z</dcterms:created>
  <dc:creator>dell</dc:creator>
  <cp:lastModifiedBy>lenovo</cp:lastModifiedBy>
  <dcterms:modified xsi:type="dcterms:W3CDTF">2017-09-15T06:57:44Z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